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2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26 марта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</w:r>
    </w:p>
    <w:p>
      <w:pPr>
        <w:pStyle w:val="882"/>
        <w:jc w:val="both"/>
      </w:pPr>
      <w:r/>
      <w:r/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0" w:name="P7573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КОМПЛЕКСНЫХ ПОСЕЩЕНИЙ ПРИ ПРОВЕДЕНИИ ПРОФИЛАКТИЧЕСКИХ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МЕДИЦИНСКИХ ОСМОТРОВ ОПРЕДЕЛЕННЫХ ГРУПП НАСЕЛЕНИЯ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1</w:t>
      </w:r>
      <w:r>
        <w:rPr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 комплексного посещения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проведением профилактических медицинских осмотров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взрослого населения</w:t>
      </w:r>
      <w:r>
        <w:rPr>
          <w:rStyle w:val="867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</w:p>
    <w:tbl>
      <w:tblPr>
        <w:tblW w:w="94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5"/>
        <w:gridCol w:w="794"/>
        <w:gridCol w:w="4059"/>
        <w:gridCol w:w="2438"/>
        <w:gridCol w:w="1531"/>
      </w:tblGrid>
      <w:tr>
        <w:tblPrEx/>
        <w:trPr>
          <w:tblHeader/>
        </w:trPr>
        <w:tc>
          <w:tcPr>
            <w:tcW w:w="625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№</w:t>
            </w:r>
            <w:r>
              <w:t xml:space="preserve"> стр.</w:t>
            </w:r>
            <w:r/>
          </w:p>
        </w:tc>
        <w:tc>
          <w:tcPr>
            <w:tcW w:w="794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№</w:t>
            </w:r>
            <w:r/>
          </w:p>
          <w:p>
            <w:pPr>
              <w:pStyle w:val="882"/>
              <w:jc w:val="center"/>
            </w:pPr>
            <w:r>
              <w:t xml:space="preserve">п/п</w:t>
            </w:r>
            <w:r/>
          </w:p>
        </w:tc>
        <w:tc>
          <w:tcPr>
            <w:tcW w:w="4059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Вид тарифа</w:t>
            </w:r>
            <w:r/>
          </w:p>
        </w:tc>
        <w:tc>
          <w:tcPr>
            <w:tcW w:w="2438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Код обращения в системе ОМС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Тариф</w:t>
            </w:r>
            <w:r>
              <w:rPr>
                <w:szCs w:val="24"/>
              </w:rPr>
            </w:r>
          </w:p>
        </w:tc>
      </w:tr>
      <w:tr>
        <w:tblPrEx/>
        <w:trPr>
          <w:trHeight w:val="85"/>
          <w:tblHeader/>
        </w:trPr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  <w:spacing w:line="240" w:lineRule="exact"/>
            </w:pPr>
            <w:r>
              <w:t xml:space="preserve">1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  <w:spacing w:line="240" w:lineRule="exact"/>
            </w:pPr>
            <w:r>
              <w:t xml:space="preserve">2</w:t>
            </w:r>
            <w:r/>
          </w:p>
        </w:tc>
        <w:tc>
          <w:tcPr>
            <w:tcW w:w="4059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spacing w:line="240" w:lineRule="exact"/>
            </w:pPr>
            <w:r>
              <w:t xml:space="preserve">3</w:t>
            </w:r>
            <w:r/>
          </w:p>
        </w:tc>
        <w:tc>
          <w:tcPr>
            <w:tcW w:w="2438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spacing w:line="240" w:lineRule="exact"/>
            </w:pPr>
            <w:r>
              <w:t xml:space="preserve">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spacing w:line="240" w:lineRule="exact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5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Норматив финансовых затрат на единицу объема предоставления медицинской помощи, руб.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2616,32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1380,94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1208,26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1772,58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1681,31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2245,63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1853,99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1962,76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1790,08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в следующие возрастные </w:t>
            </w:r>
            <w:r>
              <w:t xml:space="preserve">периоды 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1862,69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1690,01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2254,33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2163,06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2727,38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2335,74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1962,76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1790,08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B11.047.008.006.029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мобильной медицинской бригадой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1449,99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1268,67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1765,38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2357,91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1946,69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мобильной медицинской бригадой в следующие возрастные периоды 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1955,82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1774,51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2367,05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2271,21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2863,75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2452,53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B11.047.008.008.028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в выходные и праздничные </w:t>
            </w:r>
            <w:r>
              <w:t xml:space="preserve">дни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1449,99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1268,67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1765,38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2357,91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1946,69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в выходные и праздничные дни в следующие возрастные периоды 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1955,82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1774,51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2367,05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2271,21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2863,75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2452,53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B11.047.008.010.029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1519,03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1329,09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1849,44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2470,19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2039,39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2159,04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1969,09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в следующие возрастные периоды </w:t>
            </w:r>
            <w:r>
              <w:t xml:space="preserve">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2048,96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1859,01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2479,76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2379,37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3000,12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2569,31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2159,04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1969,09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B11.047.008.012.029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(включающее первое посещение в году для проведения диспансерного наблюдения)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1380,94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1208,26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1772,58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1681,31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2245,63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1853,99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1962,76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1790,08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B11.047.008.005.127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(включающее первое посещение в году для проведения диспансерного наблюдения) в следующие возрастные периоды 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1862,69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1690,01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2254,33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2163,06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2727,38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2335,74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2390,65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1826,33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1962,76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1790,08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B11.047.008.006.129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мобильной медицинской бригадой (включающее первое посещение в году для проведения диспансерного наблюдения)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1449,99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1268,67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1765,38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2357,91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1946,69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B11.047.008.007.127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мобильной медицинской бригадой (включающее первое посещение в году для проведения диспансерного наблюдения) в следующие возрастные периоды 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1955,82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1774,51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2367,05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2271,21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2863,75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2452,53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B11.047.008.008.129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в выходные и праздничные дни (включающее первое посещение в году для проведения диспансерного наблюдения)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1449,99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1268,67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1765,38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2357,91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1946,69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B11.047.008.009.127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посещение в связи с проведением профилактического медицинского осмотра взрослого населения в выходные и праздничные дни (включающее первое посещение в году для проведения диспансерного наблюдения) в следующие возрастные периоды 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1955,82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1774,51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2367,05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2271,21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2863,75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2452,53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319.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B11.047.008.010.129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2472,12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</w:t>
            </w:r>
            <w:r>
              <w:t xml:space="preserve">ещение в связи с проведением профилактического медицинского осмотра населения мобильной медицинской бригадой в выходные и праздничные дни (включающее первое посещение в году для проведения диспансерного наблюдения) в следующие возрастные периоды (мужчины):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1519,03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1329,09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1849,44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329.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2470,19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2039,39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56, 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57, 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339.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2159,04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1969,09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B11.047.008.011.127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Комплексное пос</w:t>
            </w:r>
            <w:r>
              <w:t xml:space="preserve">ещение в связи с проведением профилактического медицинского осмотра населения мобильной медицинской бригадой в выходные и праздничные дни (включающее первое посещение в году для проведения диспансерного наблюдения) в следующие возрастные периоды (женщины):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18, 20, 22, 24, 26, 28, 30, 32, 34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2048,96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19, 21, 23, 27, 29, 31, 33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1859,01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349.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25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2479,76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37, 39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2379,37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3000,12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36, 38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2569,31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40, 42, 44, 46, 48, 50, 52, 54, 56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60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62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64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2198,91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41, 43, 47, 49, 51, 53, 57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359.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45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360.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16.14.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361.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16.15.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59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362.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16.16.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61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363.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16.17.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63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2008,96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364.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16.18.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365.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16.19.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66, 68, 70, 72, 74, 76, 78, 80, 82, 84, 86, 88, 90, 92, 94, 96, 98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2159,04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366.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16.20.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67, 69, 71, 73, 77, 79, 81, 83, 87, 89, 91, 93, 97, 99 и старше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1969,09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367.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16.21.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75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368.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16.22.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85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5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369.</w:t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16.23.</w:t>
            </w:r>
            <w:r/>
          </w:p>
        </w:tc>
        <w:tc>
          <w:tcPr>
            <w:tcW w:w="4059" w:type="dxa"/>
            <w:textDirection w:val="lrTb"/>
            <w:noWrap w:val="false"/>
          </w:tcPr>
          <w:p>
            <w:pPr>
              <w:pStyle w:val="882"/>
            </w:pPr>
            <w:r>
              <w:t xml:space="preserve">95 (лет)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B11.047.008.012.129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2589,84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82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spacing w:before="60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2</w:t>
      </w:r>
      <w:r>
        <w:rPr>
          <w:sz w:val="28"/>
          <w:szCs w:val="28"/>
        </w:rPr>
      </w:r>
    </w:p>
    <w:p>
      <w:pPr>
        <w:pStyle w:val="883"/>
        <w:jc w:val="center"/>
        <w:spacing w:before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 исследований (медицинских вмешательств), входящих в комплексное посещение по проведению профилактических медицинских осмотров взрослого населения, оплата которых производится за фактические оказанные медицинские услуги</w:t>
      </w:r>
      <w:r>
        <w:rPr>
          <w:rFonts w:ascii="Times New Roman" w:hAnsi="Times New Roman" w:cs="Times New Roman"/>
          <w:sz w:val="28"/>
          <w:szCs w:val="28"/>
          <w:highlight w:val="yellow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right"/>
      </w:pPr>
      <w:r>
        <w:rPr>
          <w:sz w:val="28"/>
          <w:szCs w:val="28"/>
        </w:rPr>
        <w:t xml:space="preserve">(рублей)</w:t>
      </w:r>
      <w:r/>
    </w:p>
    <w:tbl>
      <w:tblPr>
        <w:tblW w:w="9743" w:type="dxa"/>
        <w:tblInd w:w="-5" w:type="dxa"/>
        <w:tblLook w:val="04A0" w:firstRow="1" w:lastRow="0" w:firstColumn="1" w:lastColumn="0" w:noHBand="0" w:noVBand="1"/>
      </w:tblPr>
      <w:tblGrid>
        <w:gridCol w:w="1134"/>
        <w:gridCol w:w="2190"/>
        <w:gridCol w:w="4819"/>
        <w:gridCol w:w="1600"/>
      </w:tblGrid>
      <w:tr>
        <w:tblPrEx/>
        <w:trPr>
          <w:trHeight w:val="669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0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8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pStyle w:val="882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1</w:t>
            </w:r>
            <w:r>
              <w:rPr>
                <w:sz w:val="28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pStyle w:val="882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A01.30.026.099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pStyle w:val="882"/>
              <w:rPr>
                <w:szCs w:val="24"/>
              </w:rPr>
            </w:pPr>
            <w:r>
              <w:rPr>
                <w:szCs w:val="24"/>
              </w:rPr>
              <w:t xml:space="preserve">Опрос (анкетирование) в рамках проведения профилактических мероприятий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108,45</w:t>
            </w:r>
            <w:r>
              <w:rPr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A02.07.004.099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Расчет на основании антропометрии (измерение роста, массы тела, окружности талии) индекса массы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тела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A02.12.002.001.099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Измерение артериального давления в рамках проведения профилактических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A09.05.026.099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Определение уровня общего холестерина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133,11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A09.05.023.099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Определение уровня глюкозы в крови натощак в рамках проведения профилактических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145,15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A06.09.006.099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Флюорография легких в рамках проведения профилактических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172,68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A12.10.001.099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Электрокардиография в покое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473,05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ffff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A02.26.015.099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Измерение внутриглазного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давления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145,02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A02.12.002.099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Измерение артериального давления на периферических артериях в рамках проведения профилактических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A01.30.030.020.099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Определение относительного сердечно-сосудистого риска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36,25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A01.30.030.021.099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Определение абсолютного сердечно-сосудистого риска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36,25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A26.06.041.002.099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скринингового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исследования на антитела к гепатиту C путем определения суммарных антител классов M и G к вирусу гепатита C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564,32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3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B04.001.002.099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Осмотр фельдшером (акушеркой) или врачом акушером-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гинекологом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481,75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4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en-US"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9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B04.047.002.099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Прием (осмотр) по результатам профилактического медицинского осмотра и первого этапа диспансеризации, в том числе осмотр на выявление визуальных и иных локализаций онкологических заболеваний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601,82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882"/>
        <w:outlineLvl w:val="1"/>
      </w:pPr>
      <w:r/>
      <w:r/>
    </w:p>
    <w:p>
      <w:pPr>
        <w:pStyle w:val="882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</w:r>
    </w:p>
    <w:p>
      <w:pPr>
        <w:pStyle w:val="8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 комплексного посещения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проведением профилактических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медицинских осмотров несовершеннолетних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right"/>
      </w:pPr>
      <w:r>
        <w:rPr>
          <w:sz w:val="28"/>
          <w:szCs w:val="28"/>
        </w:rPr>
        <w:t xml:space="preserve">(рублей)</w:t>
      </w:r>
      <w:r/>
    </w:p>
    <w:tbl>
      <w:tblPr>
        <w:tblW w:w="94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4853"/>
        <w:gridCol w:w="2438"/>
        <w:gridCol w:w="1531"/>
      </w:tblGrid>
      <w:tr>
        <w:tblPrEx/>
        <w:trPr>
          <w:tblHeader/>
        </w:trPr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№</w:t>
            </w:r>
            <w:r>
              <w:t xml:space="preserve"> стр.</w:t>
            </w:r>
            <w:r/>
          </w:p>
        </w:tc>
        <w:tc>
          <w:tcPr>
            <w:tcW w:w="4853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Вид тарифа</w:t>
            </w:r>
            <w:r/>
          </w:p>
        </w:tc>
        <w:tc>
          <w:tcPr>
            <w:tcW w:w="2438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Код обращения в системе ОМС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Тариф</w:t>
            </w:r>
            <w:r>
              <w:rPr>
                <w:szCs w:val="24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</w:t>
            </w:r>
            <w:r/>
          </w:p>
        </w:tc>
        <w:tc>
          <w:tcPr>
            <w:tcW w:w="4853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</w:t>
            </w:r>
            <w:r/>
          </w:p>
        </w:tc>
        <w:tc>
          <w:tcPr>
            <w:tcW w:w="2438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4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Норматив финансовых затрат на единицу объема предоставления медицинской помощи, руб.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2616,32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период новорожденности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1426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 месяц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5119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2 месяца,4 месяца,5 месяцев,6 месяцев, </w:t>
            </w:r>
            <w:r>
              <w:br/>
              <w:t xml:space="preserve">7 месяцев,8 месяцев,9 месяцев, 10 месяцев, </w:t>
            </w:r>
            <w:r>
              <w:t xml:space="preserve">11 месяцев,1 год и 3 месяца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907,58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4.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3 месяца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3006,69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5.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12 месяцев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5833,69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6.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 год и 6 месяцев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1621,54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7.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2 года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1313,94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8.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4 года, 5 лет, 8 лет, 9 лет, 11 лет 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1313,94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9.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3 года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4341,03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10.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6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11.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мальчики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9635,25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12.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девочки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9956,56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13.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7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2456,22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14.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10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5212,59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15.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12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1955,09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16.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13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17.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мальчики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2261,06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18.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девочки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2582,37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19.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14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20.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мальчики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2473,89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21.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девочки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2795,20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22.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15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23.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мальчики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8246,07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24.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девочки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B04.001.011.069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8567,38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25.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16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26.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мальчики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B04.001.011.070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4360,17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27.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девочки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B04.001.011.071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4681,48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28.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17 лет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29.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мальчики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B04.001.011.072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7212,14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2"/>
              <w:jc w:val="center"/>
            </w:pPr>
            <w:r>
              <w:t xml:space="preserve">30.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pStyle w:val="882"/>
            </w:pPr>
            <w:r>
              <w:t xml:space="preserve">девочки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882"/>
            </w:pPr>
            <w:r>
              <w:t xml:space="preserve">B04.001.011.073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7533,45</w:t>
            </w:r>
            <w:r>
              <w:rPr>
                <w:szCs w:val="24"/>
              </w:rPr>
            </w:r>
          </w:p>
        </w:tc>
      </w:tr>
    </w:tbl>
    <w:p>
      <w:r/>
      <w:r/>
    </w:p>
    <w:p>
      <w:pPr>
        <w:pStyle w:val="882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4</w:t>
      </w:r>
      <w:r>
        <w:rPr>
          <w:sz w:val="28"/>
          <w:szCs w:val="28"/>
        </w:rPr>
      </w:r>
    </w:p>
    <w:p>
      <w:pPr>
        <w:pStyle w:val="883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Тарифы исследований (медицинских вмешательств), входящих в комплексное посещение по проведению профилактических медицинских осмотров несовершеннолетних, оплата которых производится за фактические оказанные медицинские услуги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62"/>
        <w:gridCol w:w="2268"/>
        <w:gridCol w:w="5103"/>
        <w:gridCol w:w="1560"/>
        <w:gridCol w:w="425"/>
      </w:tblGrid>
      <w:tr>
        <w:tblPrEx/>
        <w:trPr>
          <w:trHeight w:val="630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55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B03.032.001.098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Забор крови для проведения исследований на врожденные и (или) наследственные заболевания в рамках проведения профилактического осмотра несовершеннолетних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204,54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B03.028.001.098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Аудиологический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скрининг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314,43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A04.16.001.098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Ультразвуковое исследование органов брюшной полости (комплексное)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683,99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A04.28.002.001.098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Ультразвуковое исследование почек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349,94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A04.04.001.001.098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Ультразвуковое исследование тазобедренного сустава с двух сторон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363,38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A04.10.002.098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Эхокардиография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762,78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A04.23.001.098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Нейросонография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455,56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A02.26.003.098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Офтальмоскопия в условиях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мидриаза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526,32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B03.016.002.098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Общий (клинический) анализ крови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558,44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B03.016.006.098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Общий (клинический) анализ мочи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185,56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A05.25.002.098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Исследование вызванной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отоакустической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эмиссии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493,29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A12.10.001.098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Электрокардиография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473,05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A09.05.026.098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Исследование уровня холестерина в крови экспресс-методом с использованием тест-полосок для детей из группы риска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133,11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B04.031.002.098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врача-педиатра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907,58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B04.010.002.098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врача-детского хирурга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641,15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B04.029.002.098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врача-офтальмолога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428,32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B04.023.002.098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врача-невролога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713,96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B04.050.002.098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врача-травматолога-ортопеда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641,15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B04.028.002.098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оториноларинголога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499,66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B04.064.002.098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 стоматолога детского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406,36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B04.001.002.098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врача-акушера-гинеколога (в отношении девочек)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840,11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B04.053.004.098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врача-детского уролога-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андролога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(в отношении мальчиков)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518,80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B04.058.003.098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Профилактический прием (осмотр, консультация) врача-детского эндокринолога в рамках профилактического осмотра несовершеннолетних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1238,11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883"/>
        <w:rPr>
          <w:rFonts w:ascii="Times New Roman" w:hAnsi="Times New Roman" w:cs="Times New Roman"/>
          <w:b w:val="0"/>
          <w:sz w:val="16"/>
          <w:szCs w:val="28"/>
        </w:rPr>
      </w:pPr>
      <w:r>
        <w:rPr>
          <w:rFonts w:ascii="Times New Roman" w:hAnsi="Times New Roman" w:cs="Times New Roman"/>
          <w:b w:val="0"/>
          <w:sz w:val="16"/>
          <w:szCs w:val="28"/>
        </w:rPr>
      </w:r>
      <w:r>
        <w:rPr>
          <w:rFonts w:ascii="Times New Roman" w:hAnsi="Times New Roman" w:cs="Times New Roman"/>
          <w:b w:val="0"/>
          <w:sz w:val="16"/>
          <w:szCs w:val="28"/>
        </w:rPr>
      </w:r>
    </w:p>
    <w:p>
      <w:pPr>
        <w:pStyle w:val="883"/>
        <w:rPr>
          <w:rFonts w:ascii="Times New Roman" w:hAnsi="Times New Roman" w:cs="Times New Roman"/>
          <w:b w:val="0"/>
          <w:sz w:val="16"/>
          <w:szCs w:val="28"/>
        </w:rPr>
      </w:pPr>
      <w:r>
        <w:rPr>
          <w:rFonts w:ascii="Times New Roman" w:hAnsi="Times New Roman" w:cs="Times New Roman"/>
          <w:b w:val="0"/>
          <w:sz w:val="16"/>
          <w:szCs w:val="28"/>
        </w:rPr>
        <w:t xml:space="preserve">__________________________</w:t>
      </w:r>
      <w:r>
        <w:rPr>
          <w:rFonts w:ascii="Times New Roman" w:hAnsi="Times New Roman" w:cs="Times New Roman"/>
          <w:b w:val="0"/>
          <w:sz w:val="16"/>
          <w:szCs w:val="28"/>
        </w:rPr>
      </w:r>
    </w:p>
    <w:p>
      <w:pPr>
        <w:pStyle w:val="883"/>
        <w:jc w:val="both"/>
        <w:rPr>
          <w:rFonts w:ascii="Times New Roman" w:hAnsi="Times New Roman" w:cs="Times New Roman"/>
          <w:b w:val="0"/>
          <w:sz w:val="20"/>
          <w:szCs w:val="20"/>
        </w:rPr>
      </w:pPr>
      <w:r/>
      <w:bookmarkStart w:id="1" w:name="_GoBack"/>
      <w:r>
        <w:rPr>
          <w:rFonts w:ascii="Times New Roman" w:hAnsi="Times New Roman" w:cs="Times New Roman"/>
          <w:b w:val="0"/>
          <w:sz w:val="20"/>
          <w:szCs w:val="20"/>
        </w:rPr>
        <w:t xml:space="preserve">2</w:t>
      </w:r>
      <w:bookmarkEnd w:id="1"/>
      <w:r>
        <w:rPr>
          <w:rFonts w:ascii="Times New Roman" w:hAnsi="Times New Roman" w:cs="Times New Roman"/>
          <w:b w:val="0"/>
          <w:sz w:val="20"/>
          <w:szCs w:val="20"/>
        </w:rPr>
        <w:t xml:space="preserve">.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При оказании медицинской помощи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мобильной медицинской бригадой к установленным тарифам применяется коэффициент 1,05.</w:t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883"/>
        <w:ind w:firstLine="284"/>
        <w:jc w:val="both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При оказании медицинской помощи 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в выходные и праздничные дни к установленным тарифам применяется коэффициент 1,05.</w:t>
      </w:r>
      <w:r>
        <w:rPr>
          <w:rFonts w:ascii="Times New Roman" w:hAnsi="Times New Roman" w:cs="Times New Roman"/>
          <w:b w:val="0"/>
          <w:sz w:val="20"/>
          <w:szCs w:val="20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ind w:right="144"/>
        <w:jc w:val="both"/>
        <w:spacing w:after="0"/>
        <w:widowControl w:val="off"/>
        <w:tabs>
          <w:tab w:val="left" w:pos="0" w:leader="none"/>
        </w:tabs>
        <w:rPr>
          <w:rFonts w:ascii="Times New Roman" w:hAnsi="Times New Roman" w:cs="Times New Roman"/>
          <w:sz w:val="18"/>
          <w:szCs w:val="28"/>
        </w:rPr>
      </w:pPr>
      <w:r>
        <w:rPr>
          <w:rStyle w:val="867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28"/>
        </w:rPr>
        <w:t xml:space="preserve">В целях выявления ранних признаков </w:t>
      </w:r>
      <w:r>
        <w:rPr>
          <w:rFonts w:ascii="Times New Roman" w:hAnsi="Times New Roman" w:cs="Times New Roman"/>
          <w:sz w:val="18"/>
          <w:szCs w:val="28"/>
        </w:rPr>
        <w:t xml:space="preserve">дислипидемии</w:t>
      </w:r>
      <w:r>
        <w:rPr>
          <w:rFonts w:ascii="Times New Roman" w:hAnsi="Times New Roman" w:cs="Times New Roman"/>
          <w:sz w:val="18"/>
          <w:szCs w:val="28"/>
        </w:rPr>
        <w:t xml:space="preserve"> и формирования атеросклероза одновременно с прохождением профилактического медицинского осмотра организуется:</w:t>
      </w:r>
      <w:r>
        <w:rPr>
          <w:rFonts w:ascii="Times New Roman" w:hAnsi="Times New Roman" w:cs="Times New Roman"/>
          <w:sz w:val="18"/>
          <w:szCs w:val="28"/>
        </w:rPr>
      </w:r>
    </w:p>
    <w:p>
      <w:pPr>
        <w:ind w:right="144"/>
        <w:jc w:val="both"/>
        <w:spacing w:after="0"/>
        <w:widowControl w:val="off"/>
        <w:tabs>
          <w:tab w:val="left" w:pos="0" w:leader="none"/>
        </w:tabs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ab/>
      </w:r>
      <w:r>
        <w:rPr>
          <w:rFonts w:ascii="Times New Roman" w:hAnsi="Times New Roman" w:cs="Times New Roman"/>
          <w:sz w:val="18"/>
          <w:szCs w:val="28"/>
        </w:rPr>
        <w:t xml:space="preserve">однократное определение уровня липопротеида (a) в крови у всех пациентов в возрасте 18 - 40 лет по коду услуги: A09.05.027.004;</w:t>
      </w:r>
      <w:r>
        <w:rPr>
          <w:rFonts w:ascii="Times New Roman" w:hAnsi="Times New Roman" w:cs="Times New Roman"/>
          <w:sz w:val="18"/>
          <w:szCs w:val="28"/>
        </w:rPr>
      </w:r>
    </w:p>
    <w:p>
      <w:pPr>
        <w:pStyle w:val="865"/>
        <w:spacing w:after="0"/>
        <w:rPr>
          <w:sz w:val="10"/>
        </w:rPr>
      </w:pPr>
      <w:r>
        <w:rPr>
          <w:rFonts w:ascii="Times New Roman" w:hAnsi="Times New Roman" w:cs="Times New Roman"/>
          <w:szCs w:val="28"/>
        </w:rPr>
        <w:tab/>
        <w:t xml:space="preserve"> оценка липидного профиля (общий холестерин, холестерин липопротеидов высо</w:t>
      </w:r>
      <w:r>
        <w:rPr>
          <w:rFonts w:ascii="Times New Roman" w:hAnsi="Times New Roman" w:cs="Times New Roman"/>
          <w:szCs w:val="28"/>
        </w:rPr>
        <w:t xml:space="preserve">кой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 по коду услуги: A09.05.027.002.</w:t>
      </w:r>
      <w:r>
        <w:rPr>
          <w:sz w:val="1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5654205"/>
      <w:docPartObj>
        <w:docPartGallery w:val="Page Numbers (Top of Page)"/>
        <w:docPartUnique w:val="true"/>
      </w:docPartObj>
      <w:rPr/>
    </w:sdtPr>
    <w:sdtContent>
      <w:p>
        <w:pPr>
          <w:pStyle w:val="73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73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10"/>
    <w:link w:val="70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10"/>
    <w:link w:val="70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10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10"/>
    <w:link w:val="70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10"/>
    <w:link w:val="7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10"/>
    <w:link w:val="70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10"/>
    <w:link w:val="70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10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10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10"/>
    <w:link w:val="724"/>
    <w:uiPriority w:val="10"/>
    <w:rPr>
      <w:sz w:val="48"/>
      <w:szCs w:val="48"/>
    </w:rPr>
  </w:style>
  <w:style w:type="character" w:styleId="38">
    <w:name w:val="Subtitle Char"/>
    <w:basedOn w:val="710"/>
    <w:link w:val="726"/>
    <w:uiPriority w:val="11"/>
    <w:rPr>
      <w:sz w:val="24"/>
      <w:szCs w:val="24"/>
    </w:rPr>
  </w:style>
  <w:style w:type="character" w:styleId="40">
    <w:name w:val="Quote Char"/>
    <w:link w:val="728"/>
    <w:uiPriority w:val="29"/>
    <w:rPr>
      <w:i/>
    </w:rPr>
  </w:style>
  <w:style w:type="character" w:styleId="42">
    <w:name w:val="Intense Quote Char"/>
    <w:link w:val="730"/>
    <w:uiPriority w:val="30"/>
    <w:rPr>
      <w:i/>
    </w:rPr>
  </w:style>
  <w:style w:type="character" w:styleId="44">
    <w:name w:val="Header Char"/>
    <w:basedOn w:val="710"/>
    <w:link w:val="732"/>
    <w:uiPriority w:val="99"/>
  </w:style>
  <w:style w:type="character" w:styleId="46">
    <w:name w:val="Footer Char"/>
    <w:basedOn w:val="710"/>
    <w:link w:val="734"/>
    <w:uiPriority w:val="99"/>
  </w:style>
  <w:style w:type="character" w:styleId="48">
    <w:name w:val="Caption Char"/>
    <w:basedOn w:val="710"/>
    <w:link w:val="736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65"/>
    <w:uiPriority w:val="99"/>
    <w:rPr>
      <w:sz w:val="18"/>
    </w:rPr>
  </w:style>
  <w:style w:type="character" w:styleId="180">
    <w:name w:val="Endnote Text Char"/>
    <w:link w:val="868"/>
    <w:uiPriority w:val="99"/>
    <w:rPr>
      <w:sz w:val="20"/>
    </w:rPr>
  </w:style>
  <w:style w:type="paragraph" w:styleId="700" w:default="1">
    <w:name w:val="Normal"/>
    <w:qFormat/>
  </w:style>
  <w:style w:type="paragraph" w:styleId="701">
    <w:name w:val="Heading 1"/>
    <w:basedOn w:val="700"/>
    <w:next w:val="700"/>
    <w:link w:val="7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2">
    <w:name w:val="Heading 2"/>
    <w:basedOn w:val="700"/>
    <w:next w:val="700"/>
    <w:link w:val="7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3">
    <w:name w:val="Heading 3"/>
    <w:basedOn w:val="700"/>
    <w:next w:val="700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4">
    <w:name w:val="Heading 4"/>
    <w:basedOn w:val="700"/>
    <w:next w:val="700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700"/>
    <w:next w:val="700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700"/>
    <w:next w:val="700"/>
    <w:link w:val="7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7">
    <w:name w:val="Heading 7"/>
    <w:basedOn w:val="700"/>
    <w:next w:val="700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8">
    <w:name w:val="Heading 8"/>
    <w:basedOn w:val="700"/>
    <w:next w:val="700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9">
    <w:name w:val="Heading 9"/>
    <w:basedOn w:val="700"/>
    <w:next w:val="700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 w:default="1">
    <w:name w:val="Default Paragraph Font"/>
    <w:uiPriority w:val="1"/>
    <w:semiHidden/>
    <w:unhideWhenUsed/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2" w:default="1">
    <w:name w:val="No List"/>
    <w:uiPriority w:val="99"/>
    <w:semiHidden/>
    <w:unhideWhenUsed/>
  </w:style>
  <w:style w:type="character" w:styleId="713" w:customStyle="1">
    <w:name w:val="Заголовок 1 Знак"/>
    <w:basedOn w:val="710"/>
    <w:link w:val="701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Заголовок 2 Знак"/>
    <w:basedOn w:val="710"/>
    <w:link w:val="702"/>
    <w:uiPriority w:val="9"/>
    <w:rPr>
      <w:rFonts w:ascii="Arial" w:hAnsi="Arial" w:eastAsia="Arial" w:cs="Arial"/>
      <w:sz w:val="34"/>
    </w:rPr>
  </w:style>
  <w:style w:type="character" w:styleId="715" w:customStyle="1">
    <w:name w:val="Заголовок 3 Знак"/>
    <w:basedOn w:val="710"/>
    <w:link w:val="703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Заголовок 4 Знак"/>
    <w:basedOn w:val="710"/>
    <w:link w:val="704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Заголовок 5 Знак"/>
    <w:basedOn w:val="710"/>
    <w:link w:val="705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Заголовок 6 Знак"/>
    <w:basedOn w:val="710"/>
    <w:link w:val="706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Заголовок 7 Знак"/>
    <w:basedOn w:val="710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Заголовок 8 Знак"/>
    <w:basedOn w:val="710"/>
    <w:link w:val="708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Заголовок 9 Знак"/>
    <w:basedOn w:val="710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700"/>
    <w:uiPriority w:val="34"/>
    <w:qFormat/>
    <w:pPr>
      <w:contextualSpacing/>
      <w:ind w:left="720"/>
    </w:pPr>
  </w:style>
  <w:style w:type="paragraph" w:styleId="723">
    <w:name w:val="No Spacing"/>
    <w:uiPriority w:val="1"/>
    <w:qFormat/>
    <w:pPr>
      <w:spacing w:after="0" w:line="240" w:lineRule="auto"/>
    </w:pPr>
  </w:style>
  <w:style w:type="paragraph" w:styleId="724">
    <w:name w:val="Title"/>
    <w:basedOn w:val="700"/>
    <w:next w:val="700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 w:customStyle="1">
    <w:name w:val="Название Знак"/>
    <w:basedOn w:val="710"/>
    <w:link w:val="724"/>
    <w:uiPriority w:val="10"/>
    <w:rPr>
      <w:sz w:val="48"/>
      <w:szCs w:val="48"/>
    </w:rPr>
  </w:style>
  <w:style w:type="paragraph" w:styleId="726">
    <w:name w:val="Subtitle"/>
    <w:basedOn w:val="700"/>
    <w:next w:val="700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 w:customStyle="1">
    <w:name w:val="Подзаголовок Знак"/>
    <w:basedOn w:val="710"/>
    <w:link w:val="726"/>
    <w:uiPriority w:val="11"/>
    <w:rPr>
      <w:sz w:val="24"/>
      <w:szCs w:val="24"/>
    </w:rPr>
  </w:style>
  <w:style w:type="paragraph" w:styleId="728">
    <w:name w:val="Quote"/>
    <w:basedOn w:val="700"/>
    <w:next w:val="700"/>
    <w:link w:val="729"/>
    <w:uiPriority w:val="29"/>
    <w:qFormat/>
    <w:pPr>
      <w:ind w:left="720" w:right="720"/>
    </w:pPr>
    <w:rPr>
      <w:i/>
    </w:rPr>
  </w:style>
  <w:style w:type="character" w:styleId="729" w:customStyle="1">
    <w:name w:val="Цитата 2 Знак"/>
    <w:link w:val="728"/>
    <w:uiPriority w:val="29"/>
    <w:rPr>
      <w:i/>
    </w:rPr>
  </w:style>
  <w:style w:type="paragraph" w:styleId="730">
    <w:name w:val="Intense Quote"/>
    <w:basedOn w:val="700"/>
    <w:next w:val="700"/>
    <w:link w:val="73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 w:customStyle="1">
    <w:name w:val="Выделенная цитата Знак"/>
    <w:link w:val="730"/>
    <w:uiPriority w:val="30"/>
    <w:rPr>
      <w:i/>
    </w:rPr>
  </w:style>
  <w:style w:type="paragraph" w:styleId="732">
    <w:name w:val="Header"/>
    <w:basedOn w:val="700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 w:customStyle="1">
    <w:name w:val="Верхний колонтитул Знак"/>
    <w:basedOn w:val="710"/>
    <w:link w:val="732"/>
    <w:uiPriority w:val="99"/>
  </w:style>
  <w:style w:type="paragraph" w:styleId="734">
    <w:name w:val="Footer"/>
    <w:basedOn w:val="700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 w:customStyle="1">
    <w:name w:val="Нижний колонтитул Знак"/>
    <w:basedOn w:val="710"/>
    <w:link w:val="734"/>
    <w:uiPriority w:val="99"/>
  </w:style>
  <w:style w:type="paragraph" w:styleId="736">
    <w:name w:val="Caption"/>
    <w:basedOn w:val="700"/>
    <w:next w:val="700"/>
    <w:link w:val="73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7" w:customStyle="1">
    <w:name w:val="Название объекта Знак"/>
    <w:basedOn w:val="710"/>
    <w:link w:val="736"/>
    <w:uiPriority w:val="35"/>
    <w:rPr>
      <w:b/>
      <w:bCs/>
      <w:color w:val="5b9bd5" w:themeColor="accent1"/>
      <w:sz w:val="18"/>
      <w:szCs w:val="18"/>
    </w:rPr>
  </w:style>
  <w:style w:type="table" w:styleId="738">
    <w:name w:val="Table Grid"/>
    <w:basedOn w:val="71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9" w:customStyle="1">
    <w:name w:val="Table Grid Light"/>
    <w:basedOn w:val="71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0">
    <w:name w:val="Plain Table 1"/>
    <w:basedOn w:val="71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71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7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 w:customStyle="1">
    <w:name w:val="Grid Table 4 - Accent 1"/>
    <w:basedOn w:val="7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8" w:customStyle="1">
    <w:name w:val="Grid Table 4 - Accent 2"/>
    <w:basedOn w:val="7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9" w:customStyle="1">
    <w:name w:val="Grid Table 4 - Accent 3"/>
    <w:basedOn w:val="7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0" w:customStyle="1">
    <w:name w:val="Grid Table 4 - Accent 4"/>
    <w:basedOn w:val="7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1" w:customStyle="1">
    <w:name w:val="Grid Table 4 - Accent 5"/>
    <w:basedOn w:val="7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2" w:customStyle="1">
    <w:name w:val="Grid Table 4 - Accent 6"/>
    <w:basedOn w:val="7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3">
    <w:name w:val="Grid Table 5 Dark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0">
    <w:name w:val="Grid Table 6 Colorful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1" w:customStyle="1">
    <w:name w:val="Grid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2" w:customStyle="1">
    <w:name w:val="Grid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3" w:customStyle="1">
    <w:name w:val="Grid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4" w:customStyle="1">
    <w:name w:val="Grid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5" w:customStyle="1">
    <w:name w:val="Grid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6" w:customStyle="1">
    <w:name w:val="Grid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7">
    <w:name w:val="Grid Table 7 Colorful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Grid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Grid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Grid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>
    <w:name w:val="List Table 1 Light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1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2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3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4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5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6"/>
    <w:basedOn w:val="7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>
    <w:name w:val="List Table 6 Colorful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0" w:customStyle="1">
    <w:name w:val="List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1" w:customStyle="1">
    <w:name w:val="List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2" w:customStyle="1">
    <w:name w:val="List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3" w:customStyle="1">
    <w:name w:val="List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4" w:customStyle="1">
    <w:name w:val="List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5" w:customStyle="1">
    <w:name w:val="List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6">
    <w:name w:val="List Table 7 Colorful"/>
    <w:basedOn w:val="7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st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st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st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ned - Accent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4" w:customStyle="1">
    <w:name w:val="Lined - Accent 1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5" w:customStyle="1">
    <w:name w:val="Lined - Accent 2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6" w:customStyle="1">
    <w:name w:val="Lined - Accent 3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7" w:customStyle="1">
    <w:name w:val="Lined - Accent 4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8" w:customStyle="1">
    <w:name w:val="Lined - Accent 5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9" w:customStyle="1">
    <w:name w:val="Lined - Accent 6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0" w:customStyle="1">
    <w:name w:val="Bordered &amp; Lined - Accent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1" w:customStyle="1">
    <w:name w:val="Bordered &amp; Lined - Accent 1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2" w:customStyle="1">
    <w:name w:val="Bordered &amp; Lined - Accent 2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3" w:customStyle="1">
    <w:name w:val="Bordered &amp; Lined - Accent 3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4" w:customStyle="1">
    <w:name w:val="Bordered &amp; Lined - Accent 4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5" w:customStyle="1">
    <w:name w:val="Bordered &amp; Lined - Accent 5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6" w:customStyle="1">
    <w:name w:val="Bordered &amp; Lined - Accent 6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7" w:customStyle="1">
    <w:name w:val="Bordered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8" w:customStyle="1">
    <w:name w:val="Bordered - Accent 1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9" w:customStyle="1">
    <w:name w:val="Bordered - Accent 2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0" w:customStyle="1">
    <w:name w:val="Bordered - Accent 3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1" w:customStyle="1">
    <w:name w:val="Bordered - Accent 4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2" w:customStyle="1">
    <w:name w:val="Bordered - Accent 5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3" w:customStyle="1">
    <w:name w:val="Bordered - Accent 6"/>
    <w:basedOn w:val="7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4">
    <w:name w:val="Hyperlink"/>
    <w:uiPriority w:val="99"/>
    <w:unhideWhenUsed/>
    <w:rPr>
      <w:color w:val="0563c1" w:themeColor="hyperlink"/>
      <w:u w:val="single"/>
    </w:rPr>
  </w:style>
  <w:style w:type="paragraph" w:styleId="865">
    <w:name w:val="footnote text"/>
    <w:basedOn w:val="700"/>
    <w:link w:val="866"/>
    <w:uiPriority w:val="99"/>
    <w:semiHidden/>
    <w:unhideWhenUsed/>
    <w:pPr>
      <w:spacing w:after="40" w:line="240" w:lineRule="auto"/>
    </w:pPr>
    <w:rPr>
      <w:sz w:val="18"/>
    </w:rPr>
  </w:style>
  <w:style w:type="character" w:styleId="866" w:customStyle="1">
    <w:name w:val="Текст сноски Знак"/>
    <w:link w:val="865"/>
    <w:uiPriority w:val="99"/>
    <w:rPr>
      <w:sz w:val="18"/>
    </w:rPr>
  </w:style>
  <w:style w:type="character" w:styleId="867">
    <w:name w:val="footnote reference"/>
    <w:basedOn w:val="710"/>
    <w:uiPriority w:val="99"/>
    <w:unhideWhenUsed/>
    <w:rPr>
      <w:vertAlign w:val="superscript"/>
    </w:rPr>
  </w:style>
  <w:style w:type="paragraph" w:styleId="868">
    <w:name w:val="endnote text"/>
    <w:basedOn w:val="700"/>
    <w:link w:val="869"/>
    <w:uiPriority w:val="99"/>
    <w:semiHidden/>
    <w:unhideWhenUsed/>
    <w:pPr>
      <w:spacing w:after="0" w:line="240" w:lineRule="auto"/>
    </w:pPr>
    <w:rPr>
      <w:sz w:val="20"/>
    </w:rPr>
  </w:style>
  <w:style w:type="character" w:styleId="869" w:customStyle="1">
    <w:name w:val="Текст концевой сноски Знак"/>
    <w:link w:val="868"/>
    <w:uiPriority w:val="99"/>
    <w:rPr>
      <w:sz w:val="20"/>
    </w:rPr>
  </w:style>
  <w:style w:type="character" w:styleId="870">
    <w:name w:val="endnote reference"/>
    <w:basedOn w:val="710"/>
    <w:uiPriority w:val="99"/>
    <w:semiHidden/>
    <w:unhideWhenUsed/>
    <w:rPr>
      <w:vertAlign w:val="superscript"/>
    </w:rPr>
  </w:style>
  <w:style w:type="paragraph" w:styleId="871">
    <w:name w:val="toc 1"/>
    <w:basedOn w:val="700"/>
    <w:next w:val="700"/>
    <w:uiPriority w:val="39"/>
    <w:unhideWhenUsed/>
    <w:pPr>
      <w:spacing w:after="57"/>
    </w:pPr>
  </w:style>
  <w:style w:type="paragraph" w:styleId="872">
    <w:name w:val="toc 2"/>
    <w:basedOn w:val="700"/>
    <w:next w:val="700"/>
    <w:uiPriority w:val="39"/>
    <w:unhideWhenUsed/>
    <w:pPr>
      <w:ind w:left="283"/>
      <w:spacing w:after="57"/>
    </w:pPr>
  </w:style>
  <w:style w:type="paragraph" w:styleId="873">
    <w:name w:val="toc 3"/>
    <w:basedOn w:val="700"/>
    <w:next w:val="700"/>
    <w:uiPriority w:val="39"/>
    <w:unhideWhenUsed/>
    <w:pPr>
      <w:ind w:left="567"/>
      <w:spacing w:after="57"/>
    </w:pPr>
  </w:style>
  <w:style w:type="paragraph" w:styleId="874">
    <w:name w:val="toc 4"/>
    <w:basedOn w:val="700"/>
    <w:next w:val="700"/>
    <w:uiPriority w:val="39"/>
    <w:unhideWhenUsed/>
    <w:pPr>
      <w:ind w:left="850"/>
      <w:spacing w:after="57"/>
    </w:pPr>
  </w:style>
  <w:style w:type="paragraph" w:styleId="875">
    <w:name w:val="toc 5"/>
    <w:basedOn w:val="700"/>
    <w:next w:val="700"/>
    <w:uiPriority w:val="39"/>
    <w:unhideWhenUsed/>
    <w:pPr>
      <w:ind w:left="1134"/>
      <w:spacing w:after="57"/>
    </w:pPr>
  </w:style>
  <w:style w:type="paragraph" w:styleId="876">
    <w:name w:val="toc 6"/>
    <w:basedOn w:val="700"/>
    <w:next w:val="700"/>
    <w:uiPriority w:val="39"/>
    <w:unhideWhenUsed/>
    <w:pPr>
      <w:ind w:left="1417"/>
      <w:spacing w:after="57"/>
    </w:pPr>
  </w:style>
  <w:style w:type="paragraph" w:styleId="877">
    <w:name w:val="toc 7"/>
    <w:basedOn w:val="700"/>
    <w:next w:val="700"/>
    <w:uiPriority w:val="39"/>
    <w:unhideWhenUsed/>
    <w:pPr>
      <w:ind w:left="1701"/>
      <w:spacing w:after="57"/>
    </w:pPr>
  </w:style>
  <w:style w:type="paragraph" w:styleId="878">
    <w:name w:val="toc 8"/>
    <w:basedOn w:val="700"/>
    <w:next w:val="700"/>
    <w:uiPriority w:val="39"/>
    <w:unhideWhenUsed/>
    <w:pPr>
      <w:ind w:left="1984"/>
      <w:spacing w:after="57"/>
    </w:pPr>
  </w:style>
  <w:style w:type="paragraph" w:styleId="879">
    <w:name w:val="toc 9"/>
    <w:basedOn w:val="700"/>
    <w:next w:val="700"/>
    <w:uiPriority w:val="39"/>
    <w:unhideWhenUsed/>
    <w:pPr>
      <w:ind w:left="2268"/>
      <w:spacing w:after="57"/>
    </w:pPr>
  </w:style>
  <w:style w:type="paragraph" w:styleId="880">
    <w:name w:val="TOC Heading"/>
    <w:uiPriority w:val="39"/>
    <w:unhideWhenUsed/>
  </w:style>
  <w:style w:type="paragraph" w:styleId="881">
    <w:name w:val="table of figures"/>
    <w:basedOn w:val="700"/>
    <w:next w:val="700"/>
    <w:uiPriority w:val="99"/>
    <w:unhideWhenUsed/>
    <w:pPr>
      <w:spacing w:after="0"/>
    </w:pPr>
  </w:style>
  <w:style w:type="paragraph" w:styleId="882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lang w:eastAsia="ru-RU"/>
    </w:rPr>
  </w:style>
  <w:style w:type="paragraph" w:styleId="883" w:customStyle="1">
    <w:name w:val="ConsPlusTitle"/>
    <w:pPr>
      <w:spacing w:after="0" w:line="240" w:lineRule="auto"/>
      <w:widowControl w:val="off"/>
    </w:pPr>
    <w:rPr>
      <w:rFonts w:ascii="Arial" w:hAnsi="Arial" w:cs="Arial" w:eastAsiaTheme="minorEastAsia"/>
      <w:b/>
      <w:sz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C2B0D-0A98-4C04-963B-6C9FF3768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burkaleva</cp:lastModifiedBy>
  <cp:revision>61</cp:revision>
  <dcterms:created xsi:type="dcterms:W3CDTF">2025-10-30T13:26:00Z</dcterms:created>
  <dcterms:modified xsi:type="dcterms:W3CDTF">2026-03-26T12:03:32Z</dcterms:modified>
</cp:coreProperties>
</file>